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WorkflowApproval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1e3157ce33812fc2a1d7ebb5c81ffff7adde814"/>
    <w:p>
      <w:pPr>
        <w:pStyle w:val="Heading1"/>
      </w:pPr>
      <w:r>
        <w:t xml:space="preserve">Руководство администратора WorkflowApproval</w:t>
      </w:r>
    </w:p>
    <w:p>
      <w:pPr>
        <w:pStyle w:val="FirstParagraph"/>
      </w:pPr>
      <w:r>
        <w:t xml:space="preserve">Для настройки согласования администратор создает policy, затем gate, затем выбирает gate в переходе Workflow.</w:t>
      </w:r>
    </w:p>
    <w:p>
      <w:pPr>
        <w:pStyle w:val="BodyText"/>
      </w:pPr>
      <w:r>
        <w:t xml:space="preserve">В policy настраиваются:</w:t>
      </w:r>
    </w:p>
    <w:p>
      <w:pPr>
        <w:pStyle w:val="Compact"/>
        <w:numPr>
          <w:ilvl w:val="0"/>
          <w:numId w:val="1001"/>
        </w:numPr>
      </w:pPr>
      <w:r>
        <w:t xml:space="preserve">тип согласования;</w:t>
      </w:r>
    </w:p>
    <w:p>
      <w:pPr>
        <w:pStyle w:val="Compact"/>
        <w:numPr>
          <w:ilvl w:val="0"/>
          <w:numId w:val="1001"/>
        </w:numPr>
      </w:pPr>
      <w:r>
        <w:t xml:space="preserve">источники участников;</w:t>
      </w:r>
    </w:p>
    <w:p>
      <w:pPr>
        <w:pStyle w:val="Compact"/>
        <w:numPr>
          <w:ilvl w:val="0"/>
          <w:numId w:val="1001"/>
        </w:numPr>
      </w:pPr>
      <w:r>
        <w:t xml:space="preserve">правило пустого resolver;</w:t>
      </w:r>
    </w:p>
    <w:p>
      <w:pPr>
        <w:pStyle w:val="Compact"/>
        <w:numPr>
          <w:ilvl w:val="0"/>
          <w:numId w:val="1001"/>
        </w:numPr>
      </w:pPr>
      <w:r>
        <w:t xml:space="preserve">кворум;</w:t>
      </w:r>
    </w:p>
    <w:p>
      <w:pPr>
        <w:pStyle w:val="Compact"/>
        <w:numPr>
          <w:ilvl w:val="0"/>
          <w:numId w:val="1001"/>
        </w:numPr>
      </w:pPr>
      <w:r>
        <w:t xml:space="preserve">необходимость комментариев;</w:t>
      </w:r>
    </w:p>
    <w:p>
      <w:pPr>
        <w:pStyle w:val="Compact"/>
        <w:numPr>
          <w:ilvl w:val="0"/>
          <w:numId w:val="1001"/>
        </w:numPr>
      </w:pPr>
      <w:r>
        <w:t xml:space="preserve">возможность повторного решения;</w:t>
      </w:r>
    </w:p>
    <w:p>
      <w:pPr>
        <w:pStyle w:val="Compact"/>
        <w:numPr>
          <w:ilvl w:val="0"/>
          <w:numId w:val="1001"/>
        </w:numPr>
      </w:pPr>
      <w:r>
        <w:t xml:space="preserve">делегирование.</w:t>
      </w:r>
    </w:p>
    <w:p>
      <w:pPr>
        <w:pStyle w:val="FirstParagraph"/>
      </w:pPr>
      <w:r>
        <w:t xml:space="preserve">В gate настраиваются:</w:t>
      </w:r>
    </w:p>
    <w:p>
      <w:pPr>
        <w:pStyle w:val="Compact"/>
        <w:numPr>
          <w:ilvl w:val="0"/>
          <w:numId w:val="1002"/>
        </w:numPr>
      </w:pPr>
      <w:r>
        <w:t xml:space="preserve">workflow;</w:t>
      </w:r>
    </w:p>
    <w:p>
      <w:pPr>
        <w:pStyle w:val="Compact"/>
        <w:numPr>
          <w:ilvl w:val="0"/>
          <w:numId w:val="1002"/>
        </w:numPr>
      </w:pPr>
      <w:r>
        <w:t xml:space="preserve">policy;</w:t>
      </w:r>
    </w:p>
    <w:p>
      <w:pPr>
        <w:pStyle w:val="Compact"/>
        <w:numPr>
          <w:ilvl w:val="0"/>
          <w:numId w:val="1002"/>
        </w:numPr>
      </w:pPr>
      <w:r>
        <w:t xml:space="preserve">режим gate;</w:t>
      </w:r>
    </w:p>
    <w:p>
      <w:pPr>
        <w:pStyle w:val="Compact"/>
        <w:numPr>
          <w:ilvl w:val="0"/>
          <w:numId w:val="1002"/>
        </w:numPr>
      </w:pPr>
      <w:r>
        <w:t xml:space="preserve">condition-формат для условного согласования;</w:t>
      </w:r>
    </w:p>
    <w:p>
      <w:pPr>
        <w:pStyle w:val="Compact"/>
        <w:numPr>
          <w:ilvl w:val="0"/>
          <w:numId w:val="1002"/>
        </w:numPr>
      </w:pPr>
      <w:r>
        <w:t xml:space="preserve">execution principal;</w:t>
      </w:r>
    </w:p>
    <w:p>
      <w:pPr>
        <w:pStyle w:val="Compact"/>
        <w:numPr>
          <w:ilvl w:val="0"/>
          <w:numId w:val="1002"/>
        </w:numPr>
      </w:pPr>
      <w:r>
        <w:t xml:space="preserve">экраны решения, отказа, уточнения и делегирования;</w:t>
      </w:r>
    </w:p>
    <w:p>
      <w:pPr>
        <w:pStyle w:val="Compact"/>
        <w:numPr>
          <w:ilvl w:val="0"/>
          <w:numId w:val="1002"/>
        </w:numPr>
      </w:pPr>
      <w:r>
        <w:t xml:space="preserve">параметры сроков и диагностики.</w:t>
      </w:r>
    </w:p>
    <w:p>
      <w:pPr>
        <w:pStyle w:val="FirstParagraph"/>
      </w:pPr>
      <w:r>
        <w:t xml:space="preserve">Переход Workflow хранит только ссылку на gate. Права на выполнение перехода по-прежнему проверяются на записи перехода через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. Права участников и видимость диагностических данных должны проверяться через Security.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WorkflowApproval</dc:title>
  <dc:creator/>
  <cp:keywords/>
  <dcterms:created xsi:type="dcterms:W3CDTF">2026-10-09T08:10:53Z</dcterms:created>
  <dcterms:modified xsi:type="dcterms:W3CDTF">2026-10-09T08:10:53Z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